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R DOS SANTOS ROCH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4.488.9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284124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D7I0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KR0115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C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Marechal Rondon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ada do Vale 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08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R DOS SANTOS ROCH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