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ANDRES FELIPE GONZALEZ GIRALDO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Camboatás BL 3 APT 404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425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92412230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Igara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601.977.540-23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RNE G478068-O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9853-57816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VENDEDOR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YAMAHA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YBR150 FACTOR ED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LARANJA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QID8G71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149CC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01107823045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9C6RG3120H0017400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 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ANDRES FELIPE GONZALEZ GIRALDO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3 de junho de 2019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