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LUIZ ATTILIO DA SILVA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Antônio Florindo Nichele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143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92320040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Mato Grande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403.567.790-68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1012992556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9920-59249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motorista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SUZUKI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DL 650 V-TROM 2011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CINZA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FDA2J11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02</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2011</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67cv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330906976</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9CDVP54AJBM102463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ALVORADA/RS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LUIZ ATTILIO DA SILVA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sábado, 10 de agosto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d6bde76f248f4754" /></Relationships>
</file>