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9C2KC1660ER021794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IVJ7148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JONATA DE VARGAS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