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CESAR PEREIRA BORGES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294.444.620-72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5016643214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9813-63937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GABRIELLY_ALIARDI@OUTLOOK.COM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Urano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Vila João Pessoa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91510730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ESDD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9C2KD0810GR466623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1099574053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IXM4091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28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CESAR PEREIRA BORGES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