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 RODOLFO DE PIZZOL COSTA LEITE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018.627.620-66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109086544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9911-42386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DANIELA@CLATHIMOVEIS.COM.BR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JOAO SERAFIM DE ALMEIDA SILVEIRA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CAJU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9C2KD0810GR466623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1099574053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IXM4091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30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HENRIQUE RODOLFO DE PIZZOL COSTA LEITE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