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19.000,00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INN1241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SIENA ELA FLEX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2006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2007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21 de novembro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LIDIA MARIA PEREIRA PEDRO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