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IGA6403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CORSA SUPER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21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CLAUDIOMAR PEREIRA MAGALHÃES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