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 w:rsidRPr="005A3A6D">
        <w:rPr>
          <w:sz w:val="24"/>
          <w:szCs w:val="24"/>
        </w:rPr>
        <w:t xml:space="preserve">, RG </w:t>
      </w:r>
      <w:proofErr w:type="spellStart"/>
      <w:proofErr w:type="spellEnd"/>
      <w:r w:rsidRPr="005A3A6D">
        <w:rPr>
          <w:sz w:val="24"/>
          <w:szCs w:val="24"/>
        </w:rPr>
        <w:t xml:space="preserve"> e CPF </w:t>
      </w:r>
      <w:proofErr w:type="spellStart"/>
      <w:proofErr w:type="spellEnd"/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 w:rsidRPr="005A3A6D">
        <w:rPr>
          <w:sz w:val="24"/>
          <w:szCs w:val="24"/>
        </w:rPr>
        <w:t xml:space="preserve">, bairro </w:t>
      </w:r>
      <w:proofErr w:type="spellStart"/>
      <w:proofErr w:type="spellEnd"/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 w:rsidRPr="005A3A6D">
        <w:rPr>
          <w:sz w:val="24"/>
          <w:szCs w:val="24"/>
        </w:rPr>
        <w:t xml:space="preserve"> e CEP: </w:t>
      </w:r>
      <w:proofErr w:type="spellStart"/>
      <w:proofErr w:type="spellEnd"/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3 de agosto de 2021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