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SILVIA ROSANE MIKOVSKI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FUNCIONARIAPUBLICA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5105529829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027.959.470-48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9995-56435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COXILHA DE AMARAL FERRADOR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25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SILVIA ROSANE MIKOVSKI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